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909A21A" w:rsidR="00763FE9" w:rsidRPr="004873C7" w:rsidRDefault="008E7A4A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Benteen ES</w:t>
      </w:r>
      <w:bookmarkStart w:id="0" w:name="_GoBack"/>
      <w:bookmarkEnd w:id="0"/>
      <w:r w:rsidR="00763FE9" w:rsidRPr="004873C7">
        <w:rPr>
          <w:color w:val="EA751A"/>
          <w:sz w:val="40"/>
        </w:rPr>
        <w:t xml:space="preserve"> GO Team </w:t>
      </w:r>
      <w:r w:rsidR="0066078C">
        <w:rPr>
          <w:color w:val="EA751A"/>
          <w:sz w:val="40"/>
        </w:rPr>
        <w:t xml:space="preserve">Budget Feedback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61E25A4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8E7A4A">
        <w:rPr>
          <w:rStyle w:val="Strong"/>
          <w:sz w:val="22"/>
          <w:szCs w:val="22"/>
        </w:rPr>
        <w:t>February 18, 2018</w:t>
      </w:r>
    </w:p>
    <w:p w14:paraId="7E277FFB" w14:textId="29032F90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8E7A4A">
        <w:rPr>
          <w:rStyle w:val="Strong"/>
        </w:rPr>
        <w:t xml:space="preserve">4:00 p.m. </w:t>
      </w:r>
    </w:p>
    <w:p w14:paraId="4C65C52E" w14:textId="2EF0BFCD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8E7A4A">
        <w:rPr>
          <w:rStyle w:val="Strong"/>
        </w:rPr>
        <w:t>Conference Room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162C3D62" w14:textId="77777777"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2017-2020 Strategic Plan Review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49C7752" w14:textId="31D1FDB5" w:rsidR="0066078C" w:rsidRDefault="00BA0FF7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’20</w:t>
      </w:r>
      <w:r w:rsidR="00975576">
        <w:rPr>
          <w:color w:val="EA751A"/>
        </w:rPr>
        <w:t xml:space="preserve"> Budget Development Presentation</w:t>
      </w:r>
    </w:p>
    <w:p w14:paraId="127D0E68" w14:textId="519A44DA"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69F9DD6B"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33B52" w14:textId="77777777" w:rsidR="00B557CD" w:rsidRDefault="00B557CD">
      <w:pPr>
        <w:spacing w:before="0" w:after="0" w:line="240" w:lineRule="auto"/>
      </w:pPr>
      <w:r>
        <w:separator/>
      </w:r>
    </w:p>
  </w:endnote>
  <w:endnote w:type="continuationSeparator" w:id="0">
    <w:p w14:paraId="7FB9A1EB" w14:textId="77777777" w:rsidR="00B557CD" w:rsidRDefault="00B557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F64A6" w14:textId="77777777" w:rsidR="00B557CD" w:rsidRDefault="00B557CD">
      <w:pPr>
        <w:spacing w:before="0" w:after="0" w:line="240" w:lineRule="auto"/>
      </w:pPr>
      <w:r>
        <w:separator/>
      </w:r>
    </w:p>
  </w:footnote>
  <w:footnote w:type="continuationSeparator" w:id="0">
    <w:p w14:paraId="5FD7BCAF" w14:textId="77777777" w:rsidR="00B557CD" w:rsidRDefault="00B557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61E16"/>
    <w:rsid w:val="004C5B9C"/>
    <w:rsid w:val="005D6547"/>
    <w:rsid w:val="00604A9C"/>
    <w:rsid w:val="0066078C"/>
    <w:rsid w:val="00727D98"/>
    <w:rsid w:val="00763FE9"/>
    <w:rsid w:val="007674FF"/>
    <w:rsid w:val="008C622E"/>
    <w:rsid w:val="008E7A4A"/>
    <w:rsid w:val="00905F1A"/>
    <w:rsid w:val="0094380E"/>
    <w:rsid w:val="0096368A"/>
    <w:rsid w:val="00975576"/>
    <w:rsid w:val="009C7E6A"/>
    <w:rsid w:val="009D7E9C"/>
    <w:rsid w:val="00AB22DE"/>
    <w:rsid w:val="00B557CD"/>
    <w:rsid w:val="00B84998"/>
    <w:rsid w:val="00B964B4"/>
    <w:rsid w:val="00BA0FF7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1D60B4-7DCD-484F-96A9-9A021D07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2016-03-11T22:37:00Z</cp:lastPrinted>
  <dcterms:created xsi:type="dcterms:W3CDTF">2019-02-15T20:42:00Z</dcterms:created>
  <dcterms:modified xsi:type="dcterms:W3CDTF">2019-02-15T20:42:00Z</dcterms:modified>
</cp:coreProperties>
</file>